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2019年咸海流域种植结构矢量数据集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10.12389/ariddc.00314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中分辨率成像光谱仪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本数据集包括2019年咸海流域的阿姆河和锡尔河子流域的Kashkadarya, Zarafshan, Suekhandarya,Bukhara, Naryn, Kazalinskiy, Qyzylorda, South Kazashstan, Zhanakorganskiy共9个灌区的种植结构矢量数据，空间分辨率为10m×10m，时间分辨率为年，Kappa系数0.8。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2019年哨兵2号数据。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将2019年分为三个时间段，将每个时间段内云量最少，质量最高的哨兵2号数据拼接为一张完整地图，得到咸海流域三期哨兵2号遥感影像，并求出三期影像的NDVI值，再结合得到的耕地数据和实地采样数据，用随机森林算法对其分类，最终得到每个地块上的种植结构类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空间分辨率为10m×10m，时间分辨率为年，Kappa系数0.8。</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咸海流域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449.2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种植结构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咸海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钱静,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钱静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钱静,刘铁. 2019年咸海流域种植结构矢量数据集. 干旱区生态与资源科学数据中心(https://data.dcxjegi.cn), 2025. https://cstr.cn/CSTR:33110.11.ariddc.00314.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