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新疆地下水资源开采系数及可开采量数据（2000年）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本数据包含了流域不同矿化度多年平均可开采量和2000年可采量、三工河流域地下水可开采量、历年进、出库水量、地表来水与引水情况、历年水均衡计算结果以及流域的水文地质特征等信息数据。共12张表格。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董新光，邓铭江，新疆地下水资源，新疆科学技术出版社，2005年10月第1版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本数据是由专人手工录入。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该专著已于2005年10月出版，录入时未经删改。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129.4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进库水量, 地下水,  出库水量,  可开采量,  地表来水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新疆地下水资源开采系数及可开采量数据（2000年）. 干旱区生态与资源科学数据中心(https://data.dcxjegi.cn), 2025. https://cstr.cn/CSTR:33110.11.ariddc.00624.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