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物志 第四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：第一部分介绍了本专著的背景和主要内容。本卷为该系列的收官之作，涵盖了最后一批被子植物的资料，并特别附有各类植物科属的鉴定表和经济植物的标注，突出了本卷的科学价值与实用意义。同时，本卷还首次记录了一些新发现的植物种类。第二部分是对各类植物科属的系统整理与详细描述。本部分收录了498种植物，涵盖伞形科、锦葵科、芸香科等具有重要经济价值的科目，并按拉丁学名、形态特征及分布情况进行了规范分类。部分分类采用了创新性的属种处理方式，展示了本卷在植物分类学上的深入研究。第三部分为附录和索引，包括系统分类索引、植物名录及各属种的编号整理，便于查阅和科研引用。此外，对部分植物的形态学特征进行了图文说明，提升了文献的可读性与实用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A. I. Vvedensky 出版社：哈萨克苏维埃社会主义共和国科学院出版社 出版地：阿拉木图 出版年：1958年 页数：5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物志 第四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物志 第四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植物, 植物分类,  植物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物志 第四卷. 干旱区生态与资源科学数据中心(https://data.dcxjegi.cn), 2025. https://cstr.cn/CSTR:33110.11.ariddc.009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